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3F" w:rsidRPr="009366CA" w:rsidRDefault="00CF163F" w:rsidP="004F0487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rPr>
          <w:rFonts w:ascii="Times New Roman" w:hAnsi="Times New Roman"/>
          <w:b/>
          <w:spacing w:val="-6"/>
          <w:sz w:val="26"/>
          <w:szCs w:val="26"/>
          <w:lang w:val="ru-RU"/>
        </w:rPr>
      </w:pPr>
      <w:r w:rsidRPr="009366CA">
        <w:rPr>
          <w:rFonts w:ascii="Times New Roman" w:hAnsi="Times New Roman"/>
          <w:b/>
          <w:spacing w:val="-6"/>
          <w:sz w:val="26"/>
          <w:szCs w:val="26"/>
          <w:lang w:val="ru-RU"/>
        </w:rPr>
        <w:t xml:space="preserve">Анализ ГИА </w:t>
      </w:r>
      <w:r w:rsidR="00395533">
        <w:rPr>
          <w:rFonts w:ascii="Times New Roman" w:hAnsi="Times New Roman"/>
          <w:b/>
          <w:spacing w:val="-6"/>
          <w:sz w:val="26"/>
          <w:szCs w:val="26"/>
          <w:lang w:val="ru-RU"/>
        </w:rPr>
        <w:t xml:space="preserve">за </w:t>
      </w:r>
      <w:r w:rsidRPr="009366CA">
        <w:rPr>
          <w:rFonts w:ascii="Times New Roman" w:hAnsi="Times New Roman"/>
          <w:b/>
          <w:spacing w:val="-6"/>
          <w:sz w:val="26"/>
          <w:szCs w:val="26"/>
          <w:lang w:val="ru-RU"/>
        </w:rPr>
        <w:t>201</w:t>
      </w:r>
      <w:r w:rsidR="00395533">
        <w:rPr>
          <w:rFonts w:ascii="Times New Roman" w:hAnsi="Times New Roman"/>
          <w:b/>
          <w:spacing w:val="-6"/>
          <w:sz w:val="26"/>
          <w:szCs w:val="26"/>
          <w:lang w:val="ru-RU"/>
        </w:rPr>
        <w:t xml:space="preserve">9 </w:t>
      </w:r>
      <w:r w:rsidRPr="009366CA">
        <w:rPr>
          <w:rFonts w:ascii="Times New Roman" w:hAnsi="Times New Roman"/>
          <w:b/>
          <w:spacing w:val="-6"/>
          <w:sz w:val="26"/>
          <w:szCs w:val="26"/>
          <w:lang w:val="ru-RU"/>
        </w:rPr>
        <w:t>год</w:t>
      </w:r>
    </w:p>
    <w:p w:rsidR="00CF163F" w:rsidRDefault="00CF163F" w:rsidP="004F0487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</w:p>
    <w:p w:rsidR="00AE10B4" w:rsidRPr="00E71B55" w:rsidRDefault="00AE10B4" w:rsidP="00AE10B4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rPr>
          <w:rFonts w:ascii="Times New Roman" w:hAnsi="Times New Roman"/>
          <w:i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i/>
          <w:spacing w:val="-6"/>
          <w:sz w:val="26"/>
          <w:szCs w:val="26"/>
          <w:lang w:val="ru-RU"/>
        </w:rPr>
        <w:t>Проблемы, выявленные при реализации мероприятий «дорожной карты» в 2019 году</w:t>
      </w:r>
    </w:p>
    <w:p w:rsidR="00C225F0" w:rsidRPr="00E71B55" w:rsidRDefault="00C225F0" w:rsidP="00C225F0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proofErr w:type="gramStart"/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В г. Череповце в 201</w:t>
      </w:r>
      <w:r w:rsidR="00BF1F5C" w:rsidRPr="00E71B55">
        <w:rPr>
          <w:rFonts w:ascii="Times New Roman" w:hAnsi="Times New Roman"/>
          <w:spacing w:val="-6"/>
          <w:sz w:val="26"/>
          <w:szCs w:val="26"/>
          <w:lang w:val="ru-RU"/>
        </w:rPr>
        <w:t>9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году ГИА-9 была организована </w:t>
      </w:r>
      <w:r w:rsidR="00F32AE3" w:rsidRPr="00E71B55">
        <w:rPr>
          <w:rFonts w:ascii="Times New Roman" w:hAnsi="Times New Roman"/>
          <w:spacing w:val="-6"/>
          <w:sz w:val="26"/>
          <w:szCs w:val="26"/>
          <w:lang w:val="ru-RU"/>
        </w:rPr>
        <w:t>3196 выпускников 9 классов</w:t>
      </w:r>
      <w:r w:rsidR="00AD082F"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(</w:t>
      </w:r>
      <w:r w:rsidR="00F32AE3" w:rsidRPr="00E71B55">
        <w:rPr>
          <w:rFonts w:ascii="Times New Roman" w:hAnsi="Times New Roman"/>
          <w:spacing w:val="-6"/>
          <w:sz w:val="26"/>
          <w:szCs w:val="26"/>
          <w:lang w:val="ru-RU"/>
        </w:rPr>
        <w:t>из них 3098 в форме ОГЭ, 98 - в форме ГВЭ, в том числе 130 детей с ОВЗ и детей-инвалидов</w:t>
      </w:r>
      <w:r w:rsidR="00AD082F" w:rsidRPr="00E71B55">
        <w:rPr>
          <w:rFonts w:ascii="Times New Roman" w:hAnsi="Times New Roman"/>
          <w:spacing w:val="-6"/>
          <w:sz w:val="26"/>
          <w:szCs w:val="26"/>
          <w:lang w:val="ru-RU"/>
        </w:rPr>
        <w:t>)</w:t>
      </w:r>
      <w:r w:rsidR="00F32AE3"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на базе 24 пунктов проведения экзаменов (далее – ППЭ)</w:t>
      </w:r>
      <w:r w:rsidR="00AD082F"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, 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ГИА-11 для 14</w:t>
      </w:r>
      <w:r w:rsidR="00AD082F" w:rsidRPr="00E71B55">
        <w:rPr>
          <w:rFonts w:ascii="Times New Roman" w:hAnsi="Times New Roman"/>
          <w:spacing w:val="-6"/>
          <w:sz w:val="26"/>
          <w:szCs w:val="26"/>
          <w:lang w:val="ru-RU"/>
        </w:rPr>
        <w:t>96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выпускников </w:t>
      </w:r>
      <w:r w:rsidR="00AD082F" w:rsidRPr="00E71B55">
        <w:rPr>
          <w:rFonts w:ascii="Times New Roman" w:hAnsi="Times New Roman"/>
          <w:spacing w:val="-6"/>
          <w:sz w:val="26"/>
          <w:szCs w:val="26"/>
          <w:lang w:val="ru-RU"/>
        </w:rPr>
        <w:t>текущего года 11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классов и 2</w:t>
      </w:r>
      <w:r w:rsidR="00AD082F" w:rsidRPr="00E71B55">
        <w:rPr>
          <w:rFonts w:ascii="Times New Roman" w:hAnsi="Times New Roman"/>
          <w:spacing w:val="-6"/>
          <w:sz w:val="26"/>
          <w:szCs w:val="26"/>
          <w:lang w:val="ru-RU"/>
        </w:rPr>
        <w:t>74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выпускник</w:t>
      </w:r>
      <w:r w:rsidR="00E636EE" w:rsidRPr="00E71B55">
        <w:rPr>
          <w:rFonts w:ascii="Times New Roman" w:hAnsi="Times New Roman"/>
          <w:spacing w:val="-6"/>
          <w:sz w:val="26"/>
          <w:szCs w:val="26"/>
          <w:lang w:val="ru-RU"/>
        </w:rPr>
        <w:t>ов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прошлых лет на базе 9 ППЭ.</w:t>
      </w:r>
      <w:proofErr w:type="gramEnd"/>
    </w:p>
    <w:p w:rsidR="00CF163F" w:rsidRPr="00E71B55" w:rsidRDefault="00CF163F" w:rsidP="004F0487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На основании анализа мероприятий «дорожной карты», анализа результатов самодиагностики ГИА в форме ЕГЭ в пунктах проведения экзаменов в соответствии с критериями оценки эффективности организационно-технологического обеспечения проведения ЕГЭ выявлен</w:t>
      </w:r>
      <w:r w:rsidR="006D6C14" w:rsidRPr="00E71B55">
        <w:rPr>
          <w:rFonts w:ascii="Times New Roman" w:hAnsi="Times New Roman"/>
          <w:spacing w:val="-6"/>
          <w:sz w:val="26"/>
          <w:szCs w:val="26"/>
          <w:lang w:val="ru-RU"/>
        </w:rPr>
        <w:t>ы проблемы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:</w:t>
      </w:r>
    </w:p>
    <w:p w:rsidR="009366CA" w:rsidRPr="00E71B55" w:rsidRDefault="009366CA" w:rsidP="006D6C14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</w:p>
    <w:p w:rsidR="006D6C14" w:rsidRPr="00E71B55" w:rsidRDefault="006D6C14" w:rsidP="006D6C14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По результатам ЕГЭ в 201</w:t>
      </w:r>
      <w:r w:rsidR="00ED4129" w:rsidRPr="00E71B55">
        <w:rPr>
          <w:rFonts w:ascii="Times New Roman" w:hAnsi="Times New Roman"/>
          <w:spacing w:val="-6"/>
          <w:sz w:val="26"/>
          <w:szCs w:val="26"/>
          <w:lang w:val="ru-RU"/>
        </w:rPr>
        <w:t>9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году наблюдаются:</w:t>
      </w:r>
    </w:p>
    <w:p w:rsidR="00C225F0" w:rsidRPr="00E71B55" w:rsidRDefault="00C225F0" w:rsidP="00C225F0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- </w:t>
      </w:r>
      <w:r w:rsidR="006D6C14"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снижение среднего балла по предметам: </w:t>
      </w:r>
      <w:r w:rsidR="00847C57" w:rsidRPr="00E71B55">
        <w:rPr>
          <w:rFonts w:ascii="Times New Roman" w:hAnsi="Times New Roman"/>
          <w:spacing w:val="-6"/>
          <w:sz w:val="26"/>
          <w:szCs w:val="26"/>
          <w:lang w:val="ru-RU"/>
        </w:rPr>
        <w:t>русский язык, география, история, обществознание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.</w:t>
      </w:r>
    </w:p>
    <w:p w:rsidR="00AE10B4" w:rsidRPr="00E71B55" w:rsidRDefault="00AE10B4" w:rsidP="00C225F0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Вместе с тем, в 2019 году наблюдается:</w:t>
      </w:r>
    </w:p>
    <w:p w:rsidR="00E636EE" w:rsidRPr="00E71B55" w:rsidRDefault="00E636EE" w:rsidP="00E636EE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- уменьшение  количества школьников, не набравших минимальный балл для поступления в вузы  (278 чел. в 2018 г. 162 чел в 2019 г.);</w:t>
      </w:r>
    </w:p>
    <w:p w:rsidR="00AE10B4" w:rsidRPr="00E71B55" w:rsidRDefault="00AE10B4" w:rsidP="00AE10B4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- повышение среднего тестового балла ЕГЭ по математике (профильный уровень), физике, английскому и немецкому языкам, химии, биологии, информатике и ИКТ, литературе. Увеличилось по сравнению с прошлым годом количество участников ЕГЭ, набравших 81 и более баллов;</w:t>
      </w:r>
    </w:p>
    <w:p w:rsidR="00D05A90" w:rsidRPr="00E71B55" w:rsidRDefault="00AE10B4" w:rsidP="00D05A90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- в</w:t>
      </w:r>
      <w:r w:rsidR="00D05A90"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ходе 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ЕГЭ</w:t>
      </w:r>
      <w:r w:rsidR="00D05A90"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выпускники общеобразовательных учреждений получили 24 </w:t>
      </w:r>
      <w:proofErr w:type="spellStart"/>
      <w:r w:rsidR="00D05A90" w:rsidRPr="00E71B55">
        <w:rPr>
          <w:rFonts w:ascii="Times New Roman" w:hAnsi="Times New Roman"/>
          <w:spacing w:val="-6"/>
          <w:sz w:val="26"/>
          <w:szCs w:val="26"/>
          <w:lang w:val="ru-RU"/>
        </w:rPr>
        <w:t>стобалльных</w:t>
      </w:r>
      <w:proofErr w:type="spellEnd"/>
      <w:r w:rsidR="00D05A90"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результата, что является самым высоким достижением </w:t>
      </w:r>
      <w:proofErr w:type="gramStart"/>
      <w:r w:rsidR="00D05A90" w:rsidRPr="00E71B55">
        <w:rPr>
          <w:rFonts w:ascii="Times New Roman" w:hAnsi="Times New Roman"/>
          <w:spacing w:val="-6"/>
          <w:sz w:val="26"/>
          <w:szCs w:val="26"/>
          <w:lang w:val="ru-RU"/>
        </w:rPr>
        <w:t>за</w:t>
      </w:r>
      <w:proofErr w:type="gramEnd"/>
      <w:r w:rsidR="00D05A90"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последние 4 года (2018 – 14, 2017 - 13; 2016 - 6).</w:t>
      </w:r>
    </w:p>
    <w:p w:rsidR="00C225F0" w:rsidRPr="00E71B55" w:rsidRDefault="00D05A90" w:rsidP="00D05A90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Лидерами в городском рейтинге школ по показателю среднего балла по ЕГЭ по основным предметам стали: МАОУ «СОШ № 10 с углубленным изучением отдельных предметов», МАОУ «СОШ № 26 с углубленным изучением отдельных предметов», МАОУ «ОЛ» АМТЭК».</w:t>
      </w:r>
    </w:p>
    <w:p w:rsidR="00D05A90" w:rsidRPr="00E71B55" w:rsidRDefault="00D05A90" w:rsidP="00D05A90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</w:p>
    <w:p w:rsidR="00AE10B4" w:rsidRPr="00E71B55" w:rsidRDefault="00AE10B4" w:rsidP="00D05A90">
      <w:pPr>
        <w:pStyle w:val="HTML"/>
        <w:widowControl w:val="0"/>
        <w:ind w:firstLine="709"/>
        <w:rPr>
          <w:rFonts w:ascii="Times New Roman" w:hAnsi="Times New Roman"/>
          <w:i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i/>
          <w:spacing w:val="-6"/>
          <w:sz w:val="26"/>
          <w:szCs w:val="26"/>
          <w:lang w:val="ru-RU"/>
        </w:rPr>
        <w:t>Меры, принятые по устранению и решению выявленных проблем</w:t>
      </w:r>
    </w:p>
    <w:p w:rsidR="00AE10B4" w:rsidRPr="00E71B55" w:rsidRDefault="00AE10B4" w:rsidP="00AE10B4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Анализ результатов ГИА позволяет определить проблемные зоны в содержании и технологиях образования, поэтому в рамках августовских педсоветов подведены итоги ЕГЭ и ОГЭ, особое внимание уделено качеству проведения ГИА. </w:t>
      </w:r>
    </w:p>
    <w:p w:rsidR="00AE10B4" w:rsidRPr="00E71B55" w:rsidRDefault="00AE10B4" w:rsidP="00AE10B4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proofErr w:type="gramStart"/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Руководителям общеобразовательных организаций рекомендовано взять на особый контроль вопросы работы с детьми и родителями (законными представителями), </w:t>
      </w:r>
      <w:r w:rsidR="00E636EE"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на уровне каждого ОУ проанализировать причины снижения результатов, 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при проведении родительских собраний акцентировать внимание </w:t>
      </w:r>
      <w:r w:rsidR="00E636EE" w:rsidRPr="00E71B55">
        <w:rPr>
          <w:rFonts w:ascii="Times New Roman" w:hAnsi="Times New Roman"/>
          <w:spacing w:val="-6"/>
          <w:sz w:val="26"/>
          <w:szCs w:val="26"/>
          <w:lang w:val="ru-RU"/>
        </w:rPr>
        <w:t>как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на организационные вопросы проведения ГИА, </w:t>
      </w:r>
      <w:r w:rsidR="00E636EE"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знание нормативной базы, 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но и </w:t>
      </w:r>
      <w:r w:rsidR="00E636EE"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усилить </w:t>
      </w:r>
      <w:proofErr w:type="spellStart"/>
      <w:r w:rsidR="00E636EE" w:rsidRPr="00E71B55">
        <w:rPr>
          <w:rFonts w:ascii="Times New Roman" w:hAnsi="Times New Roman"/>
          <w:spacing w:val="-6"/>
          <w:sz w:val="26"/>
          <w:szCs w:val="26"/>
          <w:lang w:val="ru-RU"/>
        </w:rPr>
        <w:t>профориентационную</w:t>
      </w:r>
      <w:proofErr w:type="spellEnd"/>
      <w:r w:rsidR="00E636EE"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работу с обучающимися и их родителями по выбору предметов, 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ориентировать будущих выпускников и их родителей на осознанный</w:t>
      </w:r>
      <w:proofErr w:type="gramEnd"/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выбор учебных предметов для сдачи ГИА, чтобы успешно завершить обучение на ступени основного общего и средне</w:t>
      </w:r>
      <w:r w:rsidR="00E636EE" w:rsidRPr="00E71B55">
        <w:rPr>
          <w:rFonts w:ascii="Times New Roman" w:hAnsi="Times New Roman"/>
          <w:spacing w:val="-6"/>
          <w:sz w:val="26"/>
          <w:szCs w:val="26"/>
          <w:lang w:val="ru-RU"/>
        </w:rPr>
        <w:t>г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о общего образования.</w:t>
      </w:r>
      <w:r w:rsidR="00E636EE"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</w:t>
      </w:r>
    </w:p>
    <w:p w:rsidR="00AE10B4" w:rsidRPr="00E71B55" w:rsidRDefault="00AE10B4" w:rsidP="00D05A90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</w:p>
    <w:p w:rsidR="00EF1173" w:rsidRPr="00E71B55" w:rsidRDefault="00EF1173" w:rsidP="00EF1173">
      <w:pPr>
        <w:pStyle w:val="HTML"/>
        <w:widowControl w:val="0"/>
        <w:ind w:firstLine="709"/>
        <w:rPr>
          <w:rFonts w:ascii="Times New Roman" w:hAnsi="Times New Roman"/>
          <w:i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i/>
          <w:spacing w:val="-6"/>
          <w:sz w:val="26"/>
          <w:szCs w:val="26"/>
          <w:lang w:val="ru-RU"/>
        </w:rPr>
        <w:t>Комплекс мер, направленных на повышение квалификации учителей и качества общего образования с учетом результатов ГИА.</w:t>
      </w:r>
    </w:p>
    <w:p w:rsidR="00E71B55" w:rsidRPr="00E71B55" w:rsidRDefault="00E71B55" w:rsidP="00EF117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proofErr w:type="gramStart"/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Комплекс мер по повышению качества общего образования на 2019-2020 учебный год  (утвержден приказом управления образования от 10.10.2019 №1385 (прилагается).</w:t>
      </w:r>
      <w:proofErr w:type="gramEnd"/>
    </w:p>
    <w:p w:rsidR="004F1323" w:rsidRDefault="004F1323" w:rsidP="004B4A2E">
      <w:pPr>
        <w:pStyle w:val="HTML"/>
        <w:widowControl w:val="0"/>
        <w:ind w:firstLine="709"/>
        <w:rPr>
          <w:rFonts w:ascii="Times New Roman" w:hAnsi="Times New Roman"/>
          <w:i/>
          <w:spacing w:val="-6"/>
          <w:sz w:val="26"/>
          <w:szCs w:val="26"/>
          <w:lang w:val="ru-RU"/>
        </w:rPr>
      </w:pPr>
    </w:p>
    <w:p w:rsidR="004B4A2E" w:rsidRPr="00E71B55" w:rsidRDefault="004B4A2E" w:rsidP="004B4A2E">
      <w:pPr>
        <w:pStyle w:val="HTML"/>
        <w:widowControl w:val="0"/>
        <w:ind w:firstLine="709"/>
        <w:rPr>
          <w:rFonts w:ascii="Times New Roman" w:hAnsi="Times New Roman"/>
          <w:i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i/>
          <w:spacing w:val="-6"/>
          <w:sz w:val="26"/>
          <w:szCs w:val="26"/>
          <w:lang w:val="ru-RU"/>
        </w:rPr>
        <w:lastRenderedPageBreak/>
        <w:t>О результатах работы по повышению качества образования на основании анализа отдельных ОО по итогам ГИА 2017, 2018</w:t>
      </w:r>
    </w:p>
    <w:p w:rsidR="004B4A2E" w:rsidRPr="00E71B55" w:rsidRDefault="004B4A2E" w:rsidP="004B4A2E">
      <w:pPr>
        <w:pStyle w:val="HTML"/>
        <w:widowControl w:val="0"/>
        <w:ind w:firstLine="709"/>
        <w:rPr>
          <w:rFonts w:ascii="Times New Roman" w:hAnsi="Times New Roman"/>
          <w:i/>
          <w:spacing w:val="-6"/>
          <w:sz w:val="26"/>
          <w:szCs w:val="26"/>
          <w:lang w:val="ru-RU"/>
        </w:rPr>
      </w:pPr>
    </w:p>
    <w:p w:rsidR="004B4A2E" w:rsidRPr="00E71B55" w:rsidRDefault="004B4A2E" w:rsidP="004B4A2E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Результаты ГИА необходимо использовать для совершенствования основных программ, выявления проблем в методике преподавания, что будет в дальнейшем способствовать достижению высокого уровня образования. </w:t>
      </w:r>
    </w:p>
    <w:p w:rsidR="004B4A2E" w:rsidRPr="00E71B55" w:rsidRDefault="00667705" w:rsidP="004B4A2E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Определены направления для </w:t>
      </w:r>
      <w:r w:rsidR="004B4A2E" w:rsidRPr="00E71B55">
        <w:rPr>
          <w:rFonts w:ascii="Times New Roman" w:hAnsi="Times New Roman"/>
          <w:spacing w:val="-6"/>
          <w:sz w:val="26"/>
          <w:szCs w:val="26"/>
          <w:lang w:val="ru-RU"/>
        </w:rPr>
        <w:t>создания комплекса мер и системы работы по повышения качества образования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, для этого </w:t>
      </w:r>
      <w:proofErr w:type="spellStart"/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наобходимо</w:t>
      </w:r>
      <w:proofErr w:type="spellEnd"/>
      <w:r w:rsidR="004B4A2E" w:rsidRPr="00E71B55">
        <w:rPr>
          <w:rFonts w:ascii="Times New Roman" w:hAnsi="Times New Roman"/>
          <w:spacing w:val="-6"/>
          <w:sz w:val="26"/>
          <w:szCs w:val="26"/>
          <w:lang w:val="ru-RU"/>
        </w:rPr>
        <w:t>:</w:t>
      </w:r>
    </w:p>
    <w:p w:rsidR="004B4A2E" w:rsidRPr="00E71B55" w:rsidRDefault="004B4A2E" w:rsidP="004B4A2E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- проанализировать и при необходимости скорректировать систему внутренней оценки качества образования;</w:t>
      </w:r>
    </w:p>
    <w:p w:rsidR="004B4A2E" w:rsidRPr="00E71B55" w:rsidRDefault="004B4A2E" w:rsidP="004B4A2E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- обеспечить объективность проведения оценочных процедур;</w:t>
      </w:r>
    </w:p>
    <w:p w:rsidR="004B4A2E" w:rsidRPr="00E71B55" w:rsidRDefault="004B4A2E" w:rsidP="004B4A2E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- продолжить реализацию мероприятий, направленных на совершенствование методической работы;</w:t>
      </w:r>
    </w:p>
    <w:p w:rsidR="004B4A2E" w:rsidRPr="00E71B55" w:rsidRDefault="004B4A2E" w:rsidP="004B4A2E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- провести анализ результатов образовательных достижений </w:t>
      </w:r>
      <w:proofErr w:type="gramStart"/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обучающиеся</w:t>
      </w:r>
      <w:proofErr w:type="gramEnd"/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на основе комплексного подхода;</w:t>
      </w:r>
    </w:p>
    <w:p w:rsidR="004B4A2E" w:rsidRPr="00E71B55" w:rsidRDefault="004B4A2E" w:rsidP="004B4A2E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- обеспечить своевременное выявление обучающихся, испытывающих трудности в обучении и создание для них специальных условий получения образования.</w:t>
      </w:r>
    </w:p>
    <w:p w:rsidR="004B4A2E" w:rsidRPr="00E71B55" w:rsidRDefault="004B4A2E" w:rsidP="00EF117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</w:p>
    <w:p w:rsidR="004F1323" w:rsidRPr="004F1323" w:rsidRDefault="004F1323" w:rsidP="004F132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4F1323">
        <w:rPr>
          <w:rFonts w:ascii="Times New Roman" w:hAnsi="Times New Roman"/>
          <w:spacing w:val="-6"/>
          <w:sz w:val="26"/>
          <w:szCs w:val="26"/>
          <w:lang w:val="ru-RU"/>
        </w:rPr>
        <w:t>Комплекс мер, направленных на повышение квалификации учителей и качества общего образования с учетом результатов ГИА.</w:t>
      </w:r>
    </w:p>
    <w:p w:rsidR="004B4A2E" w:rsidRDefault="004F1323" w:rsidP="004F132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proofErr w:type="gramStart"/>
      <w:r w:rsidRPr="004F1323">
        <w:rPr>
          <w:rFonts w:ascii="Times New Roman" w:hAnsi="Times New Roman"/>
          <w:spacing w:val="-6"/>
          <w:sz w:val="26"/>
          <w:szCs w:val="26"/>
          <w:lang w:val="ru-RU"/>
        </w:rPr>
        <w:t>Комплекс мер по повышению качества общего образования на 2019-2020 учебный год  (утвержден приказом управления образования от 10.10.2019 №1385 (прилагается).</w:t>
      </w:r>
      <w:proofErr w:type="gramEnd"/>
    </w:p>
    <w:p w:rsidR="004F1323" w:rsidRDefault="004F1323" w:rsidP="004F132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</w:p>
    <w:p w:rsidR="004F1323" w:rsidRPr="004F1323" w:rsidRDefault="004F1323" w:rsidP="004F1323">
      <w:pPr>
        <w:pStyle w:val="HTML"/>
        <w:widowControl w:val="0"/>
        <w:ind w:firstLine="709"/>
        <w:rPr>
          <w:rFonts w:ascii="Times New Roman" w:hAnsi="Times New Roman"/>
          <w:i/>
          <w:spacing w:val="-6"/>
          <w:sz w:val="26"/>
          <w:szCs w:val="26"/>
          <w:lang w:val="ru-RU"/>
        </w:rPr>
      </w:pPr>
      <w:r w:rsidRPr="004F1323">
        <w:rPr>
          <w:rFonts w:ascii="Times New Roman" w:hAnsi="Times New Roman"/>
          <w:i/>
          <w:spacing w:val="-6"/>
          <w:sz w:val="26"/>
          <w:szCs w:val="26"/>
          <w:lang w:val="ru-RU"/>
        </w:rPr>
        <w:t>Результаты ГВЭ</w:t>
      </w:r>
    </w:p>
    <w:p w:rsidR="004F1323" w:rsidRDefault="004F1323" w:rsidP="004F132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</w:p>
    <w:p w:rsidR="004F1323" w:rsidRPr="004F1323" w:rsidRDefault="004F1323" w:rsidP="004F1323">
      <w:pPr>
        <w:jc w:val="center"/>
        <w:rPr>
          <w:rFonts w:eastAsia="Calibri"/>
          <w:b/>
          <w:bCs/>
          <w:color w:val="000000"/>
          <w:sz w:val="22"/>
          <w:szCs w:val="22"/>
        </w:rPr>
      </w:pPr>
      <w:r w:rsidRPr="004F1323">
        <w:rPr>
          <w:rFonts w:eastAsia="Calibri"/>
          <w:b/>
          <w:bCs/>
          <w:color w:val="000000"/>
          <w:sz w:val="22"/>
          <w:szCs w:val="22"/>
        </w:rPr>
        <w:t>Результаты государственной итоговой аттестации выпускников 9 классов</w:t>
      </w:r>
    </w:p>
    <w:p w:rsidR="004F1323" w:rsidRPr="004F1323" w:rsidRDefault="004F1323" w:rsidP="004F1323">
      <w:pPr>
        <w:jc w:val="center"/>
        <w:rPr>
          <w:rFonts w:eastAsia="Calibri"/>
          <w:b/>
          <w:bCs/>
          <w:color w:val="000000"/>
          <w:sz w:val="22"/>
          <w:szCs w:val="22"/>
        </w:rPr>
      </w:pPr>
      <w:r w:rsidRPr="004F1323">
        <w:rPr>
          <w:rFonts w:eastAsia="Calibri"/>
          <w:b/>
          <w:bCs/>
          <w:color w:val="000000"/>
          <w:sz w:val="22"/>
          <w:szCs w:val="22"/>
        </w:rPr>
        <w:t xml:space="preserve"> общеобразовательных учреждений в форме ГВЭ</w:t>
      </w:r>
    </w:p>
    <w:p w:rsidR="004F1323" w:rsidRPr="004F1323" w:rsidRDefault="004F1323" w:rsidP="004F1323">
      <w:pPr>
        <w:jc w:val="center"/>
        <w:rPr>
          <w:rFonts w:eastAsia="Calibri"/>
          <w:b/>
          <w:bCs/>
          <w:i/>
          <w:color w:val="000000"/>
          <w:sz w:val="26"/>
          <w:szCs w:val="26"/>
        </w:rPr>
      </w:pPr>
      <w:r w:rsidRPr="004F1323">
        <w:rPr>
          <w:rFonts w:eastAsia="Calibri"/>
          <w:b/>
          <w:bCs/>
          <w:i/>
          <w:color w:val="000000"/>
          <w:sz w:val="26"/>
          <w:szCs w:val="26"/>
        </w:rPr>
        <w:t>2019 год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5"/>
        <w:gridCol w:w="1414"/>
        <w:gridCol w:w="1421"/>
        <w:gridCol w:w="1282"/>
        <w:gridCol w:w="1130"/>
        <w:gridCol w:w="1134"/>
      </w:tblGrid>
      <w:tr w:rsidR="004F1323" w:rsidRPr="004F1323" w:rsidTr="004F1323">
        <w:trPr>
          <w:tblHeader/>
        </w:trPr>
        <w:tc>
          <w:tcPr>
            <w:tcW w:w="1276" w:type="dxa"/>
          </w:tcPr>
          <w:p w:rsidR="004F1323" w:rsidRPr="004F1323" w:rsidRDefault="004F1323" w:rsidP="000A0673">
            <w:pPr>
              <w:jc w:val="center"/>
              <w:rPr>
                <w:rFonts w:eastAsia="Calibri"/>
                <w:b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2829" w:type="dxa"/>
            <w:gridSpan w:val="2"/>
          </w:tcPr>
          <w:p w:rsidR="004F1323" w:rsidRPr="004F1323" w:rsidRDefault="004F1323" w:rsidP="000A0673">
            <w:pPr>
              <w:jc w:val="center"/>
              <w:rPr>
                <w:rFonts w:eastAsia="Calibri"/>
                <w:b/>
                <w:bCs/>
                <w:i/>
                <w:color w:val="000000"/>
                <w:sz w:val="26"/>
                <w:szCs w:val="26"/>
              </w:rPr>
            </w:pPr>
            <w:r w:rsidRPr="004F1323"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Город 2018</w:t>
            </w:r>
          </w:p>
        </w:tc>
        <w:tc>
          <w:tcPr>
            <w:tcW w:w="2703" w:type="dxa"/>
            <w:gridSpan w:val="2"/>
          </w:tcPr>
          <w:p w:rsidR="004F1323" w:rsidRPr="004F1323" w:rsidRDefault="004F1323" w:rsidP="000A067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Город 2019</w:t>
            </w:r>
          </w:p>
        </w:tc>
        <w:tc>
          <w:tcPr>
            <w:tcW w:w="2264" w:type="dxa"/>
            <w:gridSpan w:val="2"/>
          </w:tcPr>
          <w:p w:rsidR="004F1323" w:rsidRPr="004F1323" w:rsidRDefault="004F1323" w:rsidP="000A067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Качество</w:t>
            </w:r>
          </w:p>
        </w:tc>
      </w:tr>
      <w:tr w:rsidR="004F1323" w:rsidRPr="004F1323" w:rsidTr="004F1323">
        <w:trPr>
          <w:tblHeader/>
        </w:trPr>
        <w:tc>
          <w:tcPr>
            <w:tcW w:w="1276" w:type="dxa"/>
          </w:tcPr>
          <w:p w:rsidR="004F1323" w:rsidRPr="004F1323" w:rsidRDefault="004F1323" w:rsidP="000A0673">
            <w:pPr>
              <w:jc w:val="center"/>
              <w:rPr>
                <w:rFonts w:eastAsia="Calibri"/>
                <w:b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1415" w:type="dxa"/>
            <w:vAlign w:val="bottom"/>
          </w:tcPr>
          <w:p w:rsidR="004F1323" w:rsidRPr="004F1323" w:rsidRDefault="004F1323" w:rsidP="000A067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414" w:type="dxa"/>
            <w:vAlign w:val="bottom"/>
          </w:tcPr>
          <w:p w:rsidR="004F1323" w:rsidRPr="004F1323" w:rsidRDefault="004F1323" w:rsidP="000A067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421" w:type="dxa"/>
            <w:vAlign w:val="bottom"/>
          </w:tcPr>
          <w:p w:rsidR="004F1323" w:rsidRPr="004F1323" w:rsidRDefault="004F1323" w:rsidP="000A067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282" w:type="dxa"/>
            <w:vAlign w:val="bottom"/>
          </w:tcPr>
          <w:p w:rsidR="004F1323" w:rsidRPr="004F1323" w:rsidRDefault="004F1323" w:rsidP="000A067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130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134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2019</w:t>
            </w:r>
          </w:p>
        </w:tc>
      </w:tr>
      <w:tr w:rsidR="004F1323" w:rsidRPr="004F1323" w:rsidTr="004F1323">
        <w:tc>
          <w:tcPr>
            <w:tcW w:w="9072" w:type="dxa"/>
            <w:gridSpan w:val="7"/>
          </w:tcPr>
          <w:p w:rsidR="004F1323" w:rsidRPr="004F1323" w:rsidRDefault="004F1323" w:rsidP="000A067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color w:val="000000"/>
                <w:sz w:val="20"/>
                <w:szCs w:val="20"/>
                <w:lang w:eastAsia="en-US"/>
              </w:rPr>
              <w:t>русский язык – 87 человек (92- 2018 год)</w:t>
            </w:r>
          </w:p>
        </w:tc>
      </w:tr>
      <w:tr w:rsidR="004F1323" w:rsidRPr="004F1323" w:rsidTr="004F1323">
        <w:tc>
          <w:tcPr>
            <w:tcW w:w="1276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color w:val="000000"/>
                <w:sz w:val="20"/>
                <w:szCs w:val="20"/>
                <w:lang w:eastAsia="en-US"/>
              </w:rPr>
              <w:t>«5»</w:t>
            </w:r>
          </w:p>
        </w:tc>
        <w:tc>
          <w:tcPr>
            <w:tcW w:w="1415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Cs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14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  <w:t>15,2%</w:t>
            </w:r>
          </w:p>
        </w:tc>
        <w:tc>
          <w:tcPr>
            <w:tcW w:w="1421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Cs/>
                <w:iCs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82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1130" w:type="dxa"/>
            <w:vMerge w:val="restart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Cs/>
                <w:iCs/>
                <w:color w:val="000000"/>
                <w:sz w:val="20"/>
                <w:szCs w:val="20"/>
                <w:lang w:eastAsia="en-US"/>
              </w:rPr>
              <w:t>65,2%</w:t>
            </w:r>
          </w:p>
        </w:tc>
        <w:tc>
          <w:tcPr>
            <w:tcW w:w="1134" w:type="dxa"/>
            <w:vMerge w:val="restart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Cs/>
                <w:iCs/>
                <w:color w:val="000000"/>
                <w:sz w:val="20"/>
                <w:szCs w:val="20"/>
                <w:lang w:eastAsia="en-US"/>
              </w:rPr>
              <w:t>88,5%</w:t>
            </w:r>
          </w:p>
        </w:tc>
      </w:tr>
      <w:tr w:rsidR="004F1323" w:rsidRPr="004F1323" w:rsidTr="004F1323">
        <w:tc>
          <w:tcPr>
            <w:tcW w:w="1276" w:type="dxa"/>
          </w:tcPr>
          <w:p w:rsidR="004F1323" w:rsidRPr="004F1323" w:rsidRDefault="004F1323" w:rsidP="000A0673">
            <w:pPr>
              <w:ind w:right="-10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color w:val="000000"/>
                <w:sz w:val="20"/>
                <w:szCs w:val="20"/>
                <w:lang w:eastAsia="en-US"/>
              </w:rPr>
              <w:t>«4»</w:t>
            </w:r>
          </w:p>
        </w:tc>
        <w:tc>
          <w:tcPr>
            <w:tcW w:w="1415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Cs/>
                <w:iCs/>
                <w:color w:val="00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414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421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Cs/>
                <w:iCs/>
                <w:color w:val="000000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282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  <w:t>65,5%</w:t>
            </w:r>
          </w:p>
        </w:tc>
        <w:tc>
          <w:tcPr>
            <w:tcW w:w="1130" w:type="dxa"/>
            <w:vMerge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4F1323" w:rsidRPr="004F1323" w:rsidTr="004F1323">
        <w:tc>
          <w:tcPr>
            <w:tcW w:w="1276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color w:val="000000"/>
                <w:sz w:val="20"/>
                <w:szCs w:val="20"/>
                <w:lang w:eastAsia="en-US"/>
              </w:rPr>
              <w:t>«3»</w:t>
            </w:r>
          </w:p>
        </w:tc>
        <w:tc>
          <w:tcPr>
            <w:tcW w:w="1415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Cs/>
                <w:iCs/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414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  <w:t>33,7%</w:t>
            </w:r>
          </w:p>
        </w:tc>
        <w:tc>
          <w:tcPr>
            <w:tcW w:w="1421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Cs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2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  <w:t>11,5%</w:t>
            </w:r>
          </w:p>
        </w:tc>
        <w:tc>
          <w:tcPr>
            <w:tcW w:w="1130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4F1323" w:rsidRPr="004F1323" w:rsidTr="004F1323">
        <w:tc>
          <w:tcPr>
            <w:tcW w:w="1276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color w:val="000000"/>
                <w:sz w:val="20"/>
                <w:szCs w:val="20"/>
                <w:lang w:eastAsia="en-US"/>
              </w:rPr>
              <w:t>«2»</w:t>
            </w:r>
          </w:p>
        </w:tc>
        <w:tc>
          <w:tcPr>
            <w:tcW w:w="1415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Cs/>
                <w:i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4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  <w:t>1,1%</w:t>
            </w:r>
          </w:p>
        </w:tc>
        <w:tc>
          <w:tcPr>
            <w:tcW w:w="1421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2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1130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4F1323" w:rsidRPr="004F1323" w:rsidTr="004F1323">
        <w:tc>
          <w:tcPr>
            <w:tcW w:w="9072" w:type="dxa"/>
            <w:gridSpan w:val="7"/>
          </w:tcPr>
          <w:p w:rsidR="004F1323" w:rsidRPr="004F1323" w:rsidRDefault="004F1323" w:rsidP="000A067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color w:val="000000"/>
                <w:sz w:val="20"/>
                <w:szCs w:val="20"/>
                <w:lang w:eastAsia="en-US"/>
              </w:rPr>
              <w:t>математика – 98 человек (91 – 2018 год)</w:t>
            </w:r>
          </w:p>
        </w:tc>
      </w:tr>
      <w:tr w:rsidR="004F1323" w:rsidRPr="004F1323" w:rsidTr="004F1323">
        <w:tc>
          <w:tcPr>
            <w:tcW w:w="1276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color w:val="000000"/>
                <w:sz w:val="20"/>
                <w:szCs w:val="20"/>
                <w:lang w:eastAsia="en-US"/>
              </w:rPr>
              <w:t>«5»</w:t>
            </w:r>
          </w:p>
        </w:tc>
        <w:tc>
          <w:tcPr>
            <w:tcW w:w="1415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Cs/>
                <w:i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4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  <w:t>1,1%</w:t>
            </w:r>
          </w:p>
        </w:tc>
        <w:tc>
          <w:tcPr>
            <w:tcW w:w="1421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Cs/>
                <w:i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82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  <w:t>4,1%</w:t>
            </w:r>
          </w:p>
        </w:tc>
        <w:tc>
          <w:tcPr>
            <w:tcW w:w="1130" w:type="dxa"/>
            <w:vMerge w:val="restart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Cs/>
                <w:iCs/>
                <w:color w:val="000000"/>
                <w:sz w:val="20"/>
                <w:szCs w:val="20"/>
                <w:lang w:eastAsia="en-US"/>
              </w:rPr>
              <w:t>16,5%</w:t>
            </w:r>
          </w:p>
        </w:tc>
        <w:tc>
          <w:tcPr>
            <w:tcW w:w="1134" w:type="dxa"/>
            <w:vMerge w:val="restart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Cs/>
                <w:iCs/>
                <w:color w:val="000000"/>
                <w:sz w:val="20"/>
                <w:szCs w:val="20"/>
                <w:lang w:eastAsia="en-US"/>
              </w:rPr>
              <w:t>27,6</w:t>
            </w:r>
          </w:p>
        </w:tc>
      </w:tr>
      <w:tr w:rsidR="004F1323" w:rsidRPr="004F1323" w:rsidTr="004F1323">
        <w:tc>
          <w:tcPr>
            <w:tcW w:w="1276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color w:val="000000"/>
                <w:sz w:val="20"/>
                <w:szCs w:val="20"/>
                <w:lang w:eastAsia="en-US"/>
              </w:rPr>
              <w:t>«4»</w:t>
            </w:r>
          </w:p>
        </w:tc>
        <w:tc>
          <w:tcPr>
            <w:tcW w:w="1415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Cs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14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  <w:t>15,4%</w:t>
            </w:r>
          </w:p>
        </w:tc>
        <w:tc>
          <w:tcPr>
            <w:tcW w:w="1421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Cs/>
                <w:iCs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282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  <w:t>23,5%</w:t>
            </w:r>
          </w:p>
        </w:tc>
        <w:tc>
          <w:tcPr>
            <w:tcW w:w="1130" w:type="dxa"/>
            <w:vMerge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4F1323" w:rsidRPr="004F1323" w:rsidTr="004F1323">
        <w:tc>
          <w:tcPr>
            <w:tcW w:w="1276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color w:val="000000"/>
                <w:sz w:val="20"/>
                <w:szCs w:val="20"/>
                <w:lang w:eastAsia="en-US"/>
              </w:rPr>
              <w:t>«3»</w:t>
            </w:r>
          </w:p>
        </w:tc>
        <w:tc>
          <w:tcPr>
            <w:tcW w:w="1415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Cs/>
                <w:iCs/>
                <w:color w:val="000000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414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  <w:t>62,6%</w:t>
            </w:r>
          </w:p>
        </w:tc>
        <w:tc>
          <w:tcPr>
            <w:tcW w:w="1421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Cs/>
                <w:iCs/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282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  <w:t>42,9%</w:t>
            </w:r>
          </w:p>
        </w:tc>
        <w:tc>
          <w:tcPr>
            <w:tcW w:w="1130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4F1323" w:rsidRPr="004F1323" w:rsidTr="004F1323">
        <w:tc>
          <w:tcPr>
            <w:tcW w:w="1276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color w:val="000000"/>
                <w:sz w:val="20"/>
                <w:szCs w:val="20"/>
                <w:lang w:eastAsia="en-US"/>
              </w:rPr>
              <w:t>«2»</w:t>
            </w:r>
          </w:p>
        </w:tc>
        <w:tc>
          <w:tcPr>
            <w:tcW w:w="1415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Cs/>
                <w:iCs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414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  <w:t>20,9%</w:t>
            </w:r>
          </w:p>
        </w:tc>
        <w:tc>
          <w:tcPr>
            <w:tcW w:w="1421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Cs/>
                <w:iCs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282" w:type="dxa"/>
          </w:tcPr>
          <w:p w:rsidR="004F1323" w:rsidRPr="004F1323" w:rsidRDefault="004F1323" w:rsidP="000A0673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F1323">
              <w:rPr>
                <w:b/>
                <w:bCs/>
                <w:iCs/>
                <w:color w:val="000000"/>
                <w:sz w:val="20"/>
                <w:szCs w:val="20"/>
                <w:lang w:eastAsia="en-US"/>
              </w:rPr>
              <w:t>29,6%</w:t>
            </w:r>
          </w:p>
        </w:tc>
        <w:tc>
          <w:tcPr>
            <w:tcW w:w="1130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4F1323" w:rsidRPr="004F1323" w:rsidRDefault="004F1323" w:rsidP="000A0673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F1323" w:rsidRDefault="004F1323" w:rsidP="004F132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</w:p>
    <w:p w:rsidR="00EF1173" w:rsidRPr="00E71B55" w:rsidRDefault="00EF1173" w:rsidP="00EF1173">
      <w:pPr>
        <w:pStyle w:val="HTML"/>
        <w:widowControl w:val="0"/>
        <w:ind w:firstLine="709"/>
        <w:rPr>
          <w:rFonts w:ascii="Times New Roman" w:hAnsi="Times New Roman"/>
          <w:i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i/>
          <w:spacing w:val="-6"/>
          <w:sz w:val="26"/>
          <w:szCs w:val="26"/>
          <w:lang w:val="ru-RU"/>
        </w:rPr>
        <w:t>По результатам ОГЭ в 2019 году наблюдаются:</w:t>
      </w:r>
    </w:p>
    <w:p w:rsidR="00EF1173" w:rsidRPr="00E71B55" w:rsidRDefault="00EF1173" w:rsidP="00EF117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- увеличение численности детей, неудовлетворительно сдавших экзамены по предметам: математика, обществознание, география;</w:t>
      </w:r>
    </w:p>
    <w:p w:rsidR="00EF1173" w:rsidRPr="00E71B55" w:rsidRDefault="00EF1173" w:rsidP="00EF117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- проблема осознанного выбора 9-классниками необязательных  предметов;</w:t>
      </w:r>
    </w:p>
    <w:p w:rsidR="00EF1173" w:rsidRPr="00E71B55" w:rsidRDefault="00EF1173" w:rsidP="00EF117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Успешно прошли итоговую аттестацию и получили аттестат об основном общем образовании 2888 человек (90,4% от общего количества выпускников). Из них с отличием – 109 (3,4% от общего числа выпускников). </w:t>
      </w:r>
      <w:proofErr w:type="gramStart"/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В сентябре в дополнительные сроки итоговую аттестацию проходили 330 выпускников</w:t>
      </w:r>
      <w:r w:rsidR="006A0075"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(из них:71 - выпускники 2018 года, 259 – выпускники 2019 года (в 2018 году 258 выпускников на сентябрь).</w:t>
      </w:r>
      <w:proofErr w:type="gramEnd"/>
    </w:p>
    <w:p w:rsidR="00AE75AB" w:rsidRPr="00E71B55" w:rsidRDefault="00AE75AB" w:rsidP="00AE75AB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Повторно основной государственный экзамен сдавало 135 учащихся, не сдавших в 2018 году. Из них, 71 учащийся вновь не справился с экзаменами. Анализ эффективности выбранной формы обучения для данной категории учащихся 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lastRenderedPageBreak/>
        <w:t xml:space="preserve">показывает, что 67 (95%) учащихся, которые вновь не сдали  основной государственный экзамен, находились на семейной форме обучения 45 чел. (63%) или проходили обучение в организациях среднего профессионального образования 22 чел.  (31%). Только 4 (5%) учащихся,  которые находились на повторном обучении в общеобразовательных учреждениях, не справились с итоговой аттестацией повторно. </w:t>
      </w:r>
      <w:proofErr w:type="gramStart"/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Учитывая, что в текущем году, по итогам основной и дополнительной волн, без учета сентября, не прошли ГИА 330 учащихся, необходимо адресно подойти к работе с каждым конкретным учеником, проработать индивидуальный учебный план на 2019-2020 учебный год, обеспечить успешную сдачу ОГЭ.  </w:t>
      </w:r>
      <w:proofErr w:type="gramEnd"/>
    </w:p>
    <w:p w:rsidR="00AE75AB" w:rsidRPr="00E71B55" w:rsidRDefault="00AE75AB" w:rsidP="00AE75AB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Школам №№ 3,4,6,7,12,13,14,15,16,18,19,20,21,22,27,28,29,32,</w:t>
      </w:r>
    </w:p>
    <w:p w:rsidR="00AE75AB" w:rsidRPr="00E71B55" w:rsidRDefault="00AE75AB" w:rsidP="00AE75AB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34,36,40 необходимо учесть данные рекомендации, создать условия для успешной сдачи ОГЭ учащимися, повторно не прошедшими ГИА.  </w:t>
      </w:r>
    </w:p>
    <w:p w:rsidR="00AE75AB" w:rsidRPr="00E71B55" w:rsidRDefault="00AE75AB" w:rsidP="00AE75AB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Необходимо на уровне каждого ОУ проанализировать причины снижения результатов, усилить </w:t>
      </w:r>
      <w:proofErr w:type="spellStart"/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профориентационную</w:t>
      </w:r>
      <w:proofErr w:type="spellEnd"/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работу с обучающимися и их родителями по выбору предметов по выбору, не допускать неосознанного выбора учащимися данных предметов.</w:t>
      </w:r>
    </w:p>
    <w:p w:rsidR="00AE75AB" w:rsidRPr="00E71B55" w:rsidRDefault="00AE75AB" w:rsidP="00AE75AB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Анализ результатов ГИА позволяет определить проблемные зоны в содержании и технологиях образования, поэтому в рамках августовских педсоветов подведены итоги ЕГЭ и ОГЭ, особое внимание  уделено  качеству проведения ГИА. </w:t>
      </w:r>
    </w:p>
    <w:p w:rsidR="00EF1173" w:rsidRPr="00E71B55" w:rsidRDefault="00AE75AB" w:rsidP="00EF117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По результатам ГИА-9 необходимо отметить положительные моменты:</w:t>
      </w:r>
    </w:p>
    <w:p w:rsidR="00EF1173" w:rsidRPr="00E71B55" w:rsidRDefault="00EF1173" w:rsidP="00EF117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По сравнению с </w:t>
      </w:r>
      <w:r w:rsidR="006A0075"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2018 годом 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увеличился процент учеников, получивших «4» и «5» по основным предметам: по русскому языку – 2214 выпускника (в 201</w:t>
      </w:r>
      <w:r w:rsidR="006A0075" w:rsidRPr="00E71B55">
        <w:rPr>
          <w:rFonts w:ascii="Times New Roman" w:hAnsi="Times New Roman"/>
          <w:spacing w:val="-6"/>
          <w:sz w:val="26"/>
          <w:szCs w:val="26"/>
          <w:lang w:val="ru-RU"/>
        </w:rPr>
        <w:t>8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году - 2203), что на 0,5% больше, чем в 2018 году, по математике – 1761 выпускников (в 201</w:t>
      </w:r>
      <w:r w:rsidR="006A0075" w:rsidRPr="00E71B55">
        <w:rPr>
          <w:rFonts w:ascii="Times New Roman" w:hAnsi="Times New Roman"/>
          <w:spacing w:val="-6"/>
          <w:sz w:val="26"/>
          <w:szCs w:val="26"/>
          <w:lang w:val="ru-RU"/>
        </w:rPr>
        <w:t>8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году - 1679), что на 4,7% больше, чем в 2018 году. В то же время до 10,3 % (7,2% в 2018 году) увеличилась доля </w:t>
      </w:r>
      <w:proofErr w:type="gramStart"/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обучающихся</w:t>
      </w:r>
      <w:proofErr w:type="gramEnd"/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, не преодолевших минимальный порог по математике.</w:t>
      </w:r>
    </w:p>
    <w:p w:rsidR="00EF1173" w:rsidRPr="00E71B55" w:rsidRDefault="00EF1173" w:rsidP="00EF117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По сравнению с 2018 годом увеличилось качество обучения по предметам по выбору: по обществознанию – 51,9% (в 2018 - 44,5%), химии – 78,3% (в 2018 - 72,1%), по физике – 61% (в 2018 - 52,9%), английскому языку – 91,7% (в 2018 - 87,2%),биологии – 48,8% (в 2018 - 43,9%), географии – 57,7% (в 2018 - 49,6%), истории – 60% (</w:t>
      </w:r>
      <w:proofErr w:type="gramStart"/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в</w:t>
      </w:r>
      <w:proofErr w:type="gramEnd"/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2018 - 53,8%).</w:t>
      </w:r>
    </w:p>
    <w:p w:rsidR="004F1323" w:rsidRPr="00E71B55" w:rsidRDefault="004F1323" w:rsidP="00EF117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</w:p>
    <w:p w:rsidR="00AE75AB" w:rsidRPr="00E71B55" w:rsidRDefault="00AE75AB" w:rsidP="00EF1173">
      <w:pPr>
        <w:pStyle w:val="HTML"/>
        <w:widowControl w:val="0"/>
        <w:ind w:firstLine="709"/>
        <w:rPr>
          <w:rFonts w:ascii="Times New Roman" w:hAnsi="Times New Roman"/>
          <w:i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i/>
          <w:spacing w:val="-6"/>
          <w:sz w:val="26"/>
          <w:szCs w:val="26"/>
          <w:lang w:val="ru-RU"/>
        </w:rPr>
        <w:t>О создании условий для лиц с ОВЗ</w:t>
      </w:r>
    </w:p>
    <w:p w:rsidR="00EF1173" w:rsidRPr="00E71B55" w:rsidRDefault="00EF1173" w:rsidP="00EF117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Для организации ГИА для учащихся с ОВЗ планируется организовать ППЭ на базе М</w:t>
      </w:r>
      <w:r w:rsidR="00AE75AB" w:rsidRPr="00E71B55">
        <w:rPr>
          <w:rFonts w:ascii="Times New Roman" w:hAnsi="Times New Roman"/>
          <w:spacing w:val="-6"/>
          <w:sz w:val="26"/>
          <w:szCs w:val="26"/>
          <w:lang w:val="ru-RU"/>
        </w:rPr>
        <w:t>А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ОУ «СОШ №25» для проведения ЕГЭ и 3 ППЭ (ОУ </w:t>
      </w:r>
      <w:r w:rsidR="00AE75AB" w:rsidRPr="00E71B55">
        <w:rPr>
          <w:rFonts w:ascii="Times New Roman" w:hAnsi="Times New Roman"/>
          <w:spacing w:val="-6"/>
          <w:sz w:val="26"/>
          <w:szCs w:val="26"/>
          <w:lang w:val="ru-RU"/>
        </w:rPr>
        <w:t>№№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19, 25, 40) для проведения ОГЭ.</w:t>
      </w:r>
    </w:p>
    <w:p w:rsidR="00EF1173" w:rsidRPr="00E71B55" w:rsidRDefault="00AE75AB" w:rsidP="00EF117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Обратить внимание на проведение разъяснительной работы с родителями (законными представителями) обучающихся с ОВЗ, детей-инвалидов и инвалидов о создании необходимых условий в экзаменационный период (ранний сбор документов).</w:t>
      </w:r>
    </w:p>
    <w:p w:rsidR="00FA00AA" w:rsidRDefault="00FA00AA" w:rsidP="00EF117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</w:p>
    <w:p w:rsidR="00FA00AA" w:rsidRPr="00FA00AA" w:rsidRDefault="00FA00AA" w:rsidP="00EF1173">
      <w:pPr>
        <w:pStyle w:val="HTML"/>
        <w:widowControl w:val="0"/>
        <w:ind w:firstLine="709"/>
        <w:rPr>
          <w:rFonts w:ascii="Times New Roman" w:hAnsi="Times New Roman"/>
          <w:i/>
          <w:spacing w:val="-6"/>
          <w:sz w:val="26"/>
          <w:szCs w:val="26"/>
          <w:lang w:val="ru-RU"/>
        </w:rPr>
      </w:pPr>
      <w:r w:rsidRPr="00FA00AA">
        <w:rPr>
          <w:rFonts w:ascii="Times New Roman" w:hAnsi="Times New Roman"/>
          <w:i/>
          <w:spacing w:val="-6"/>
          <w:sz w:val="26"/>
          <w:szCs w:val="26"/>
          <w:lang w:val="ru-RU"/>
        </w:rPr>
        <w:t>О подготовке к ГИА в 2020 году</w:t>
      </w:r>
    </w:p>
    <w:p w:rsidR="00FA00AA" w:rsidRDefault="00FA00AA" w:rsidP="00EF117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</w:p>
    <w:p w:rsidR="00FA00AA" w:rsidRDefault="00FA00AA" w:rsidP="00FA00AA">
      <w:pPr>
        <w:spacing w:after="200"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 основе анализа проведения ГИА в 2019 году</w:t>
      </w:r>
      <w:r w:rsidRPr="00FA00AA">
        <w:rPr>
          <w:spacing w:val="-6"/>
          <w:sz w:val="26"/>
          <w:szCs w:val="26"/>
          <w:lang w:eastAsia="x-none"/>
        </w:rPr>
        <w:t xml:space="preserve"> </w:t>
      </w:r>
      <w:r w:rsidRPr="00FA00AA">
        <w:rPr>
          <w:spacing w:val="-6"/>
          <w:sz w:val="26"/>
          <w:szCs w:val="26"/>
          <w:lang w:eastAsia="x-none"/>
        </w:rPr>
        <w:t>сформирован</w:t>
      </w:r>
      <w:r>
        <w:rPr>
          <w:spacing w:val="-6"/>
          <w:sz w:val="26"/>
          <w:szCs w:val="26"/>
          <w:lang w:eastAsia="x-none"/>
        </w:rPr>
        <w:t>ы:</w:t>
      </w:r>
    </w:p>
    <w:p w:rsidR="00FA00AA" w:rsidRDefault="00FA00AA" w:rsidP="00FA00AA">
      <w:pPr>
        <w:spacing w:after="200" w:line="276" w:lineRule="auto"/>
        <w:ind w:firstLine="851"/>
        <w:jc w:val="both"/>
        <w:rPr>
          <w:spacing w:val="-6"/>
          <w:sz w:val="26"/>
          <w:szCs w:val="26"/>
          <w:lang w:eastAsia="x-none"/>
        </w:rPr>
      </w:pPr>
      <w:r w:rsidRPr="00FA00AA">
        <w:rPr>
          <w:spacing w:val="-6"/>
          <w:sz w:val="26"/>
          <w:szCs w:val="26"/>
          <w:lang w:eastAsia="x-none"/>
        </w:rPr>
        <w:t>- «дорожная карта» об организации и проведения ГИА в 20120 году (</w:t>
      </w:r>
      <w:r w:rsidRPr="00FA00AA">
        <w:rPr>
          <w:spacing w:val="-6"/>
          <w:sz w:val="26"/>
          <w:szCs w:val="26"/>
          <w:lang w:eastAsia="x-none"/>
        </w:rPr>
        <w:t>приказ управления образования от 23.09.2019 №1266</w:t>
      </w:r>
      <w:r w:rsidRPr="00FA00AA">
        <w:rPr>
          <w:spacing w:val="-6"/>
          <w:sz w:val="26"/>
          <w:szCs w:val="26"/>
          <w:lang w:eastAsia="x-none"/>
        </w:rPr>
        <w:t xml:space="preserve"> «</w:t>
      </w:r>
      <w:r w:rsidRPr="00FA00AA">
        <w:rPr>
          <w:spacing w:val="-6"/>
          <w:sz w:val="26"/>
          <w:szCs w:val="26"/>
          <w:lang w:eastAsia="x-none"/>
        </w:rPr>
        <w:t>Об утверждении планов мероприятий по организации и проведению государственной итоговой аттестации по образовательным программам</w:t>
      </w:r>
      <w:r w:rsidRPr="00FA00AA">
        <w:rPr>
          <w:spacing w:val="-6"/>
          <w:sz w:val="26"/>
          <w:szCs w:val="26"/>
          <w:lang w:eastAsia="x-none"/>
        </w:rPr>
        <w:t xml:space="preserve"> </w:t>
      </w:r>
      <w:r w:rsidRPr="00FA00AA">
        <w:rPr>
          <w:spacing w:val="-6"/>
          <w:sz w:val="26"/>
          <w:szCs w:val="26"/>
          <w:lang w:eastAsia="x-none"/>
        </w:rPr>
        <w:t>основного общего и среднего общего образования</w:t>
      </w:r>
      <w:r w:rsidRPr="00FA00AA">
        <w:rPr>
          <w:spacing w:val="-6"/>
          <w:sz w:val="26"/>
          <w:szCs w:val="26"/>
          <w:lang w:eastAsia="x-none"/>
        </w:rPr>
        <w:t xml:space="preserve"> </w:t>
      </w:r>
      <w:r w:rsidRPr="00FA00AA">
        <w:rPr>
          <w:spacing w:val="-6"/>
          <w:sz w:val="26"/>
          <w:szCs w:val="26"/>
          <w:lang w:eastAsia="x-none"/>
        </w:rPr>
        <w:t>в г. Череповце в 2019-2020 учебном году</w:t>
      </w:r>
      <w:r w:rsidRPr="00FA00AA">
        <w:rPr>
          <w:spacing w:val="-6"/>
          <w:sz w:val="26"/>
          <w:szCs w:val="26"/>
          <w:lang w:eastAsia="x-none"/>
        </w:rPr>
        <w:t>»)</w:t>
      </w:r>
      <w:r>
        <w:rPr>
          <w:spacing w:val="-6"/>
          <w:sz w:val="26"/>
          <w:szCs w:val="26"/>
          <w:lang w:eastAsia="x-none"/>
        </w:rPr>
        <w:t xml:space="preserve"> по направлениям:</w:t>
      </w:r>
    </w:p>
    <w:p w:rsidR="00FA00AA" w:rsidRPr="00FA00AA" w:rsidRDefault="00FA00AA" w:rsidP="00FA00AA">
      <w:pPr>
        <w:spacing w:after="200" w:line="276" w:lineRule="auto"/>
        <w:ind w:firstLine="851"/>
        <w:jc w:val="both"/>
        <w:rPr>
          <w:spacing w:val="-6"/>
          <w:sz w:val="26"/>
          <w:szCs w:val="26"/>
          <w:lang w:eastAsia="x-none"/>
        </w:rPr>
      </w:pPr>
      <w:r w:rsidRPr="00FA00AA">
        <w:rPr>
          <w:spacing w:val="-6"/>
          <w:sz w:val="26"/>
          <w:szCs w:val="26"/>
          <w:lang w:eastAsia="x-none"/>
        </w:rPr>
        <w:t>план мероприятий по организации и проведению итогового сочинения (изложения) в 2019-2020 учебном году в г. Череповце (Приложение 1);</w:t>
      </w:r>
    </w:p>
    <w:p w:rsidR="00FA00AA" w:rsidRPr="00FA00AA" w:rsidRDefault="00FA00AA" w:rsidP="00FA00AA">
      <w:pPr>
        <w:spacing w:after="200" w:line="276" w:lineRule="auto"/>
        <w:ind w:firstLine="851"/>
        <w:jc w:val="both"/>
        <w:rPr>
          <w:spacing w:val="-6"/>
          <w:sz w:val="26"/>
          <w:szCs w:val="26"/>
          <w:lang w:eastAsia="x-none"/>
        </w:rPr>
      </w:pPr>
      <w:r w:rsidRPr="00FA00AA">
        <w:rPr>
          <w:spacing w:val="-6"/>
          <w:sz w:val="26"/>
          <w:szCs w:val="26"/>
          <w:lang w:eastAsia="x-none"/>
        </w:rPr>
        <w:lastRenderedPageBreak/>
        <w:t>план мероприятий по организации и проведению итогового собеседования по русскому языку в 2019-2020 учебном году в г. Череповце (Приложение 2);</w:t>
      </w:r>
    </w:p>
    <w:p w:rsidR="00FA00AA" w:rsidRPr="00FA00AA" w:rsidRDefault="00FA00AA" w:rsidP="00FA00AA">
      <w:pPr>
        <w:spacing w:after="200" w:line="276" w:lineRule="auto"/>
        <w:ind w:firstLine="851"/>
        <w:jc w:val="both"/>
        <w:rPr>
          <w:spacing w:val="-6"/>
          <w:sz w:val="26"/>
          <w:szCs w:val="26"/>
          <w:lang w:eastAsia="x-none"/>
        </w:rPr>
      </w:pPr>
      <w:r w:rsidRPr="00FA00AA">
        <w:rPr>
          <w:spacing w:val="-6"/>
          <w:sz w:val="26"/>
          <w:szCs w:val="26"/>
          <w:lang w:eastAsia="x-none"/>
        </w:rPr>
        <w:t>план мероприятий по организации и проведению государственной итоговой аттестации по образовательным программам основного общего и среднего общего образования в г. Череповце в 2019-2020 учебном году (Приложение 3);</w:t>
      </w:r>
    </w:p>
    <w:p w:rsidR="00FA00AA" w:rsidRPr="00FA00AA" w:rsidRDefault="00FA00AA" w:rsidP="00FA00AA">
      <w:pPr>
        <w:spacing w:after="200" w:line="276" w:lineRule="auto"/>
        <w:ind w:firstLine="851"/>
        <w:jc w:val="both"/>
        <w:rPr>
          <w:spacing w:val="-6"/>
          <w:sz w:val="26"/>
          <w:szCs w:val="26"/>
          <w:lang w:eastAsia="x-none"/>
        </w:rPr>
      </w:pPr>
      <w:r w:rsidRPr="00FA00AA">
        <w:rPr>
          <w:spacing w:val="-6"/>
          <w:sz w:val="26"/>
          <w:szCs w:val="26"/>
          <w:lang w:eastAsia="x-none"/>
        </w:rPr>
        <w:t>план мероприятий информационного сопровождения государственной итоговой аттестации выпускников 9 и 11 классов общеобразовательных учреждений города Череповца в 2019-2020 учебном году (Приложение 4);</w:t>
      </w:r>
    </w:p>
    <w:p w:rsidR="00FA00AA" w:rsidRPr="00FA00AA" w:rsidRDefault="00FA00AA" w:rsidP="00FA00AA">
      <w:pPr>
        <w:spacing w:after="200" w:line="276" w:lineRule="auto"/>
        <w:ind w:firstLine="851"/>
        <w:jc w:val="both"/>
        <w:rPr>
          <w:spacing w:val="-6"/>
          <w:sz w:val="26"/>
          <w:szCs w:val="26"/>
          <w:lang w:eastAsia="x-none"/>
        </w:rPr>
      </w:pPr>
      <w:r w:rsidRPr="00FA00AA">
        <w:rPr>
          <w:spacing w:val="-6"/>
          <w:sz w:val="26"/>
          <w:szCs w:val="26"/>
          <w:lang w:eastAsia="x-none"/>
        </w:rPr>
        <w:t>план мероприятий работы с родителями (законными представителями) выпускников общеобразовательных учреждений по подготовке к государственной итоговой аттестации выпускников 9 и 11 классов общеобразовательных учреждений города Череповца в 2019-2020 учебном году (Приложение 5).</w:t>
      </w:r>
    </w:p>
    <w:p w:rsidR="00FA00AA" w:rsidRPr="00FA00AA" w:rsidRDefault="00FA00AA" w:rsidP="00FA00AA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proofErr w:type="gramStart"/>
      <w:r>
        <w:rPr>
          <w:rFonts w:ascii="Times New Roman" w:hAnsi="Times New Roman"/>
          <w:spacing w:val="-6"/>
          <w:sz w:val="26"/>
          <w:szCs w:val="26"/>
          <w:lang w:val="ru-RU"/>
        </w:rPr>
        <w:t>- к</w:t>
      </w:r>
      <w:r w:rsidRPr="00FA00AA">
        <w:rPr>
          <w:rFonts w:ascii="Times New Roman" w:hAnsi="Times New Roman"/>
          <w:spacing w:val="-6"/>
          <w:sz w:val="26"/>
          <w:szCs w:val="26"/>
          <w:lang w:val="ru-RU"/>
        </w:rPr>
        <w:t>омплекс мер по повышению качества общего образования на 2019-2020 учебный год  (утвержден приказом управления образования от 10.10.2019 №1385.</w:t>
      </w:r>
      <w:proofErr w:type="gramEnd"/>
    </w:p>
    <w:p w:rsidR="00FA00AA" w:rsidRDefault="00FA00AA" w:rsidP="00EF117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</w:p>
    <w:p w:rsidR="00FA00AA" w:rsidRDefault="00FA00AA" w:rsidP="00EF117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>
        <w:rPr>
          <w:rFonts w:ascii="Times New Roman" w:hAnsi="Times New Roman"/>
          <w:spacing w:val="-6"/>
          <w:sz w:val="26"/>
          <w:szCs w:val="26"/>
          <w:lang w:val="ru-RU"/>
        </w:rPr>
        <w:t>Все вопросы по организации, обеспечению, взаимодействию служб рассматриваются на Координационном совете при заместителе мэра города.</w:t>
      </w:r>
    </w:p>
    <w:p w:rsidR="00FA00AA" w:rsidRDefault="00FA00AA" w:rsidP="00EF117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</w:p>
    <w:p w:rsidR="00FA00AA" w:rsidRPr="00FA00AA" w:rsidRDefault="00FA00AA" w:rsidP="00EF1173">
      <w:pPr>
        <w:pStyle w:val="HTML"/>
        <w:widowControl w:val="0"/>
        <w:ind w:firstLine="709"/>
        <w:rPr>
          <w:rFonts w:ascii="Times New Roman" w:hAnsi="Times New Roman"/>
          <w:i/>
          <w:spacing w:val="-6"/>
          <w:sz w:val="26"/>
          <w:szCs w:val="26"/>
          <w:lang w:val="ru-RU"/>
        </w:rPr>
      </w:pPr>
      <w:r w:rsidRPr="00FA00AA">
        <w:rPr>
          <w:rFonts w:ascii="Times New Roman" w:hAnsi="Times New Roman"/>
          <w:i/>
          <w:spacing w:val="-6"/>
          <w:sz w:val="26"/>
          <w:szCs w:val="26"/>
          <w:lang w:val="ru-RU"/>
        </w:rPr>
        <w:t>О мероприятиях, направленных на обеспечение объективности оценочных процедур в 2020 году</w:t>
      </w:r>
    </w:p>
    <w:p w:rsidR="00FA00AA" w:rsidRPr="00FA00AA" w:rsidRDefault="00FA00AA" w:rsidP="00FA00AA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>
        <w:rPr>
          <w:rFonts w:ascii="Times New Roman" w:hAnsi="Times New Roman"/>
          <w:spacing w:val="-6"/>
          <w:sz w:val="26"/>
          <w:szCs w:val="26"/>
          <w:lang w:val="ru-RU"/>
        </w:rPr>
        <w:t xml:space="preserve">В каждом ОУ разработан детальный </w:t>
      </w:r>
      <w:r w:rsidRPr="00FA00AA">
        <w:rPr>
          <w:rFonts w:ascii="Times New Roman" w:hAnsi="Times New Roman"/>
          <w:spacing w:val="-6"/>
          <w:sz w:val="26"/>
          <w:szCs w:val="26"/>
          <w:lang w:val="ru-RU"/>
        </w:rPr>
        <w:t>Комплекс мер</w:t>
      </w:r>
      <w:r>
        <w:rPr>
          <w:rFonts w:ascii="Times New Roman" w:hAnsi="Times New Roman"/>
          <w:spacing w:val="-6"/>
          <w:sz w:val="26"/>
          <w:szCs w:val="26"/>
          <w:lang w:val="ru-RU"/>
        </w:rPr>
        <w:t>оприятий</w:t>
      </w:r>
      <w:r w:rsidRPr="00FA00AA">
        <w:rPr>
          <w:rFonts w:ascii="Times New Roman" w:hAnsi="Times New Roman"/>
          <w:spacing w:val="-6"/>
          <w:sz w:val="26"/>
          <w:szCs w:val="26"/>
          <w:lang w:val="ru-RU"/>
        </w:rPr>
        <w:t xml:space="preserve"> повышения качества </w:t>
      </w:r>
      <w:proofErr w:type="gramStart"/>
      <w:r w:rsidRPr="00FA00AA">
        <w:rPr>
          <w:rFonts w:ascii="Times New Roman" w:hAnsi="Times New Roman"/>
          <w:spacing w:val="-6"/>
          <w:sz w:val="26"/>
          <w:szCs w:val="26"/>
          <w:lang w:val="ru-RU"/>
        </w:rPr>
        <w:t>обучения  по</w:t>
      </w:r>
      <w:proofErr w:type="gramEnd"/>
      <w:r w:rsidRPr="00FA00AA">
        <w:rPr>
          <w:rFonts w:ascii="Times New Roman" w:hAnsi="Times New Roman"/>
          <w:spacing w:val="-6"/>
          <w:sz w:val="26"/>
          <w:szCs w:val="26"/>
          <w:lang w:val="ru-RU"/>
        </w:rPr>
        <w:t xml:space="preserve"> учебным предметам  с учетом </w:t>
      </w:r>
      <w:r>
        <w:rPr>
          <w:rFonts w:ascii="Times New Roman" w:hAnsi="Times New Roman"/>
          <w:spacing w:val="-6"/>
          <w:sz w:val="26"/>
          <w:szCs w:val="26"/>
          <w:lang w:val="ru-RU"/>
        </w:rPr>
        <w:t xml:space="preserve">рекомендаций ВИРО, </w:t>
      </w:r>
      <w:r w:rsidRPr="00FA00AA">
        <w:rPr>
          <w:rFonts w:ascii="Times New Roman" w:hAnsi="Times New Roman"/>
          <w:spacing w:val="-6"/>
          <w:sz w:val="26"/>
          <w:szCs w:val="26"/>
          <w:lang w:val="ru-RU"/>
        </w:rPr>
        <w:t>организации и проведения ГИА по основным образовательным программам основного общего и среднего общего образования в 2019 году</w:t>
      </w:r>
    </w:p>
    <w:p w:rsidR="00FA00AA" w:rsidRDefault="00FA00AA" w:rsidP="00EF117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С целью обеспечения открытости, прозрачности и объективности</w:t>
      </w:r>
      <w:r>
        <w:rPr>
          <w:rFonts w:ascii="Times New Roman" w:hAnsi="Times New Roman"/>
          <w:spacing w:val="-6"/>
          <w:sz w:val="26"/>
          <w:szCs w:val="26"/>
          <w:lang w:val="ru-RU"/>
        </w:rPr>
        <w:t xml:space="preserve"> оценочных процедур п</w:t>
      </w:r>
      <w:r w:rsidR="006002A8">
        <w:rPr>
          <w:rFonts w:ascii="Times New Roman" w:hAnsi="Times New Roman"/>
          <w:spacing w:val="-6"/>
          <w:sz w:val="26"/>
          <w:szCs w:val="26"/>
          <w:lang w:val="ru-RU"/>
        </w:rPr>
        <w:t>ри проведении присутствуют общественные наблюдатели из числа родителей, педагогов других ОУ. Выборочно организована перекрестная проверка (перепроверка) работ.</w:t>
      </w:r>
    </w:p>
    <w:p w:rsidR="006002A8" w:rsidRDefault="006002A8" w:rsidP="00EF117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</w:p>
    <w:p w:rsidR="00FA00AA" w:rsidRPr="00FA00AA" w:rsidRDefault="00FA00AA" w:rsidP="00EF1173">
      <w:pPr>
        <w:pStyle w:val="HTML"/>
        <w:widowControl w:val="0"/>
        <w:ind w:firstLine="709"/>
        <w:rPr>
          <w:rFonts w:ascii="Times New Roman" w:hAnsi="Times New Roman"/>
          <w:i/>
          <w:spacing w:val="-6"/>
          <w:sz w:val="26"/>
          <w:szCs w:val="26"/>
          <w:lang w:val="ru-RU"/>
        </w:rPr>
      </w:pPr>
      <w:r w:rsidRPr="00FA00AA">
        <w:rPr>
          <w:rFonts w:ascii="Times New Roman" w:hAnsi="Times New Roman"/>
          <w:i/>
          <w:spacing w:val="-6"/>
          <w:sz w:val="26"/>
          <w:szCs w:val="26"/>
          <w:lang w:val="ru-RU"/>
        </w:rPr>
        <w:t>Об организации общественного наблюдения при проведении ГИА</w:t>
      </w:r>
      <w:r>
        <w:rPr>
          <w:rFonts w:ascii="Times New Roman" w:hAnsi="Times New Roman"/>
          <w:i/>
          <w:spacing w:val="-6"/>
          <w:sz w:val="26"/>
          <w:szCs w:val="26"/>
          <w:lang w:val="ru-RU"/>
        </w:rPr>
        <w:t>. Проблемы и пути их решения</w:t>
      </w:r>
    </w:p>
    <w:p w:rsidR="00EF1173" w:rsidRPr="00E71B55" w:rsidRDefault="00EF1173" w:rsidP="00EF117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С целью обеспечения открытости, прозрачности и объективности процедур ГИА, соблюдения прав участников ГИА, усиления </w:t>
      </w:r>
      <w:proofErr w:type="gramStart"/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контроля за</w:t>
      </w:r>
      <w:proofErr w:type="gramEnd"/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ходом проведения ГИА на всех этапах проведения присутствовали общественные наблюдатели. В 2019 году в г. Череповце зарегистрировано 2</w:t>
      </w:r>
      <w:r w:rsidR="00AE75AB" w:rsidRPr="00E71B55">
        <w:rPr>
          <w:rFonts w:ascii="Times New Roman" w:hAnsi="Times New Roman"/>
          <w:spacing w:val="-6"/>
          <w:sz w:val="26"/>
          <w:szCs w:val="26"/>
          <w:lang w:val="ru-RU"/>
        </w:rPr>
        <w:t>10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 общественных наблюдателей (110 – в 9 классах, 1</w:t>
      </w:r>
      <w:r w:rsidR="00AE75AB" w:rsidRPr="00E71B55">
        <w:rPr>
          <w:rFonts w:ascii="Times New Roman" w:hAnsi="Times New Roman"/>
          <w:spacing w:val="-6"/>
          <w:sz w:val="26"/>
          <w:szCs w:val="26"/>
          <w:lang w:val="ru-RU"/>
        </w:rPr>
        <w:t>00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– в 11 классах</w:t>
      </w:r>
      <w:r w:rsidR="002407A0">
        <w:rPr>
          <w:rFonts w:ascii="Times New Roman" w:hAnsi="Times New Roman"/>
          <w:spacing w:val="-6"/>
          <w:sz w:val="26"/>
          <w:szCs w:val="26"/>
          <w:lang w:val="ru-RU"/>
        </w:rPr>
        <w:t xml:space="preserve"> </w:t>
      </w:r>
      <w:proofErr w:type="gramStart"/>
      <w:r w:rsidR="00AE75AB"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( </w:t>
      </w:r>
      <w:proofErr w:type="gramEnd"/>
      <w:r w:rsidR="00AE75AB" w:rsidRPr="00E71B55">
        <w:rPr>
          <w:rFonts w:ascii="Times New Roman" w:hAnsi="Times New Roman"/>
          <w:spacing w:val="-6"/>
          <w:sz w:val="26"/>
          <w:szCs w:val="26"/>
          <w:lang w:val="ru-RU"/>
        </w:rPr>
        <w:t>в 2018 – 118 ОН на ЕГЭ</w:t>
      </w: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).</w:t>
      </w:r>
    </w:p>
    <w:p w:rsidR="00AE75AB" w:rsidRPr="00E71B55" w:rsidRDefault="00AE75AB" w:rsidP="00EF1173">
      <w:pPr>
        <w:pStyle w:val="HTML"/>
        <w:widowControl w:val="0"/>
        <w:ind w:firstLine="709"/>
        <w:rPr>
          <w:rFonts w:ascii="Times New Roman" w:hAnsi="Times New Roman"/>
          <w:spacing w:val="-6"/>
          <w:sz w:val="26"/>
          <w:szCs w:val="26"/>
          <w:lang w:val="ru-RU"/>
        </w:rPr>
      </w:pPr>
      <w:r w:rsidRPr="00E71B55">
        <w:rPr>
          <w:rFonts w:ascii="Times New Roman" w:hAnsi="Times New Roman"/>
          <w:spacing w:val="-6"/>
          <w:sz w:val="26"/>
          <w:szCs w:val="26"/>
          <w:lang w:val="ru-RU"/>
        </w:rPr>
        <w:t>Анализ посещения ППЭ показал, что в 2019 году 91,74% составила явка ОН в ППЭ (82,9 % в 2018 году)</w:t>
      </w:r>
      <w:r w:rsidR="00EE5375" w:rsidRPr="00E71B55">
        <w:rPr>
          <w:rFonts w:ascii="Times New Roman" w:hAnsi="Times New Roman"/>
          <w:spacing w:val="-6"/>
          <w:sz w:val="26"/>
          <w:szCs w:val="26"/>
          <w:lang w:val="ru-RU"/>
        </w:rPr>
        <w:t xml:space="preserve">. </w:t>
      </w:r>
    </w:p>
    <w:p w:rsidR="00080217" w:rsidRPr="00E71B55" w:rsidRDefault="00080217" w:rsidP="004D7607">
      <w:pPr>
        <w:spacing w:after="200" w:line="276" w:lineRule="auto"/>
        <w:ind w:firstLine="851"/>
        <w:rPr>
          <w:i/>
          <w:sz w:val="26"/>
          <w:szCs w:val="26"/>
        </w:rPr>
      </w:pPr>
      <w:r w:rsidRPr="00E71B55">
        <w:rPr>
          <w:i/>
          <w:sz w:val="26"/>
          <w:szCs w:val="26"/>
        </w:rPr>
        <w:t>Организация информационной работы</w:t>
      </w:r>
    </w:p>
    <w:p w:rsidR="00080217" w:rsidRPr="00E71B55" w:rsidRDefault="00080217" w:rsidP="004D7607">
      <w:pPr>
        <w:spacing w:after="200" w:line="276" w:lineRule="auto"/>
        <w:ind w:firstLine="851"/>
        <w:rPr>
          <w:sz w:val="26"/>
          <w:szCs w:val="26"/>
        </w:rPr>
      </w:pPr>
      <w:proofErr w:type="gramStart"/>
      <w:r w:rsidRPr="00E71B55">
        <w:rPr>
          <w:sz w:val="26"/>
          <w:szCs w:val="26"/>
        </w:rPr>
        <w:t>План мероприятий информационного сопровождения ГИА выпускников 9 и 11 классов ОУ г. Череповца в 2019-2020 году (утвержден приказом управления образования от 23.09.2019 №1266 (прилагается).</w:t>
      </w:r>
      <w:proofErr w:type="gramEnd"/>
    </w:p>
    <w:p w:rsidR="004F1323" w:rsidRDefault="004F1323" w:rsidP="00E71B55">
      <w:pPr>
        <w:jc w:val="center"/>
        <w:rPr>
          <w:i/>
          <w:sz w:val="28"/>
          <w:szCs w:val="28"/>
        </w:rPr>
      </w:pPr>
    </w:p>
    <w:p w:rsidR="002407A0" w:rsidRDefault="002407A0" w:rsidP="00E71B55">
      <w:pPr>
        <w:jc w:val="center"/>
        <w:rPr>
          <w:i/>
          <w:sz w:val="28"/>
          <w:szCs w:val="28"/>
        </w:rPr>
      </w:pPr>
      <w:bookmarkStart w:id="0" w:name="_GoBack"/>
      <w:bookmarkEnd w:id="0"/>
    </w:p>
    <w:p w:rsidR="00E71B55" w:rsidRPr="00E71B55" w:rsidRDefault="00E71B55" w:rsidP="00E71B55">
      <w:pPr>
        <w:jc w:val="center"/>
        <w:rPr>
          <w:i/>
          <w:sz w:val="28"/>
          <w:szCs w:val="28"/>
        </w:rPr>
      </w:pPr>
      <w:r w:rsidRPr="00E71B55">
        <w:rPr>
          <w:i/>
          <w:sz w:val="28"/>
          <w:szCs w:val="28"/>
        </w:rPr>
        <w:lastRenderedPageBreak/>
        <w:t>Информационная справка по не сдавшим  и не допущенным  к ГИА  в дополнительный период учащимся 9-х классов 2018-2019 учебный год.</w:t>
      </w:r>
    </w:p>
    <w:p w:rsidR="00E71B55" w:rsidRPr="00E71B55" w:rsidRDefault="00E71B55" w:rsidP="00E71B55">
      <w:pPr>
        <w:jc w:val="both"/>
        <w:rPr>
          <w:i/>
          <w:sz w:val="28"/>
          <w:szCs w:val="28"/>
        </w:rPr>
      </w:pPr>
    </w:p>
    <w:p w:rsidR="00E71B55" w:rsidRPr="00E71B55" w:rsidRDefault="00E71B55" w:rsidP="00E71B55">
      <w:pPr>
        <w:ind w:firstLine="284"/>
        <w:jc w:val="both"/>
        <w:rPr>
          <w:sz w:val="28"/>
          <w:szCs w:val="28"/>
        </w:rPr>
      </w:pPr>
      <w:proofErr w:type="gramStart"/>
      <w:r w:rsidRPr="00E71B55">
        <w:rPr>
          <w:sz w:val="28"/>
          <w:szCs w:val="28"/>
        </w:rPr>
        <w:t>В 2018-2019 учебном году в дополнительный период сдачи ГИА учащихся 9-х классов принимали участие 330 выпускников (из них:71 - выпускники 2018 года, 259 – выпускники 2019 года (в 2018 году 258 выпускников на сентябрь).</w:t>
      </w:r>
      <w:proofErr w:type="gramEnd"/>
      <w:r w:rsidRPr="00E71B55">
        <w:rPr>
          <w:sz w:val="28"/>
          <w:szCs w:val="28"/>
        </w:rPr>
        <w:t xml:space="preserve"> Из них 191 успешно прошли дополнительный период сдачи ГИА, 139 выпускников не прошли дополнительный период сдачи ГИА. Учащиеся, не сдавшие ГИА в дополнительный период, определились следующим образом:</w:t>
      </w:r>
    </w:p>
    <w:p w:rsidR="00E71B55" w:rsidRPr="00E71B55" w:rsidRDefault="00E71B55" w:rsidP="00E71B55">
      <w:pPr>
        <w:ind w:firstLine="284"/>
        <w:jc w:val="both"/>
        <w:rPr>
          <w:sz w:val="28"/>
          <w:szCs w:val="28"/>
        </w:rPr>
      </w:pPr>
      <w:r w:rsidRPr="00E71B55">
        <w:rPr>
          <w:sz w:val="28"/>
          <w:szCs w:val="28"/>
        </w:rPr>
        <w:t>- остались на повторное обучение в общеобразовательных школах: 53 человека;</w:t>
      </w:r>
    </w:p>
    <w:p w:rsidR="00E71B55" w:rsidRPr="00E71B55" w:rsidRDefault="00E71B55" w:rsidP="00E71B55">
      <w:pPr>
        <w:ind w:firstLine="284"/>
        <w:jc w:val="both"/>
        <w:rPr>
          <w:sz w:val="28"/>
          <w:szCs w:val="28"/>
        </w:rPr>
      </w:pPr>
      <w:r w:rsidRPr="00E71B55">
        <w:rPr>
          <w:sz w:val="28"/>
          <w:szCs w:val="28"/>
        </w:rPr>
        <w:t xml:space="preserve">- </w:t>
      </w:r>
      <w:proofErr w:type="gramStart"/>
      <w:r w:rsidRPr="00E71B55">
        <w:rPr>
          <w:sz w:val="28"/>
          <w:szCs w:val="28"/>
        </w:rPr>
        <w:t>определены</w:t>
      </w:r>
      <w:proofErr w:type="gramEnd"/>
      <w:r w:rsidRPr="00E71B55">
        <w:rPr>
          <w:sz w:val="28"/>
          <w:szCs w:val="28"/>
        </w:rPr>
        <w:t xml:space="preserve"> в СПО (на платной основе): 2 человека;</w:t>
      </w:r>
    </w:p>
    <w:p w:rsidR="00E71B55" w:rsidRPr="00E71B55" w:rsidRDefault="00E71B55" w:rsidP="00E71B55">
      <w:pPr>
        <w:ind w:firstLine="284"/>
        <w:jc w:val="both"/>
        <w:rPr>
          <w:sz w:val="28"/>
          <w:szCs w:val="28"/>
        </w:rPr>
      </w:pPr>
      <w:r w:rsidRPr="00E71B55">
        <w:rPr>
          <w:sz w:val="28"/>
          <w:szCs w:val="28"/>
        </w:rPr>
        <w:t>- на семейной форме обучения: 55 чел.;</w:t>
      </w:r>
    </w:p>
    <w:p w:rsidR="00E71B55" w:rsidRPr="00E71B55" w:rsidRDefault="00E71B55" w:rsidP="00E71B55">
      <w:pPr>
        <w:ind w:firstLine="284"/>
        <w:jc w:val="both"/>
        <w:rPr>
          <w:sz w:val="28"/>
          <w:szCs w:val="28"/>
        </w:rPr>
      </w:pPr>
      <w:r w:rsidRPr="00E71B55">
        <w:rPr>
          <w:sz w:val="28"/>
          <w:szCs w:val="28"/>
        </w:rPr>
        <w:t>-другое:   29 чел., из них: 25 чел.- трудоустройство (18 лет);</w:t>
      </w:r>
    </w:p>
    <w:p w:rsidR="00E71B55" w:rsidRPr="00E71B55" w:rsidRDefault="00E71B55" w:rsidP="00E71B55">
      <w:pPr>
        <w:ind w:firstLine="284"/>
        <w:jc w:val="both"/>
        <w:rPr>
          <w:sz w:val="28"/>
          <w:szCs w:val="28"/>
        </w:rPr>
      </w:pPr>
      <w:r w:rsidRPr="00E71B55">
        <w:rPr>
          <w:sz w:val="28"/>
          <w:szCs w:val="28"/>
        </w:rPr>
        <w:t xml:space="preserve">                                            3 чел. – армия;</w:t>
      </w:r>
    </w:p>
    <w:p w:rsidR="00E71B55" w:rsidRPr="00E71B55" w:rsidRDefault="00E71B55" w:rsidP="00E71B55">
      <w:pPr>
        <w:ind w:firstLine="284"/>
        <w:jc w:val="both"/>
        <w:rPr>
          <w:sz w:val="28"/>
          <w:szCs w:val="28"/>
        </w:rPr>
      </w:pPr>
      <w:r w:rsidRPr="00E71B55">
        <w:rPr>
          <w:sz w:val="28"/>
          <w:szCs w:val="28"/>
        </w:rPr>
        <w:t xml:space="preserve">                                            1 чел.- перее</w:t>
      </w:r>
      <w:proofErr w:type="gramStart"/>
      <w:r w:rsidRPr="00E71B55">
        <w:rPr>
          <w:sz w:val="28"/>
          <w:szCs w:val="28"/>
        </w:rPr>
        <w:t>зд в др</w:t>
      </w:r>
      <w:proofErr w:type="gramEnd"/>
      <w:r w:rsidRPr="00E71B55">
        <w:rPr>
          <w:sz w:val="28"/>
          <w:szCs w:val="28"/>
        </w:rPr>
        <w:t>угой город.</w:t>
      </w:r>
    </w:p>
    <w:p w:rsidR="00E71B55" w:rsidRPr="00E71B55" w:rsidRDefault="00E71B55" w:rsidP="00E71B55">
      <w:pPr>
        <w:ind w:firstLine="284"/>
        <w:jc w:val="both"/>
        <w:rPr>
          <w:sz w:val="28"/>
          <w:szCs w:val="28"/>
        </w:rPr>
      </w:pPr>
      <w:proofErr w:type="gramStart"/>
      <w:r w:rsidRPr="00E71B55">
        <w:rPr>
          <w:sz w:val="28"/>
          <w:szCs w:val="28"/>
        </w:rPr>
        <w:t>На 12.11 2018 в Центре занятости (имеют статус безработного стоят  11 человек из школ города  (здесь СПО, и семейная форма).</w:t>
      </w:r>
      <w:proofErr w:type="gramEnd"/>
      <w:r w:rsidRPr="00E71B55">
        <w:rPr>
          <w:sz w:val="28"/>
          <w:szCs w:val="28"/>
        </w:rPr>
        <w:t xml:space="preserve"> (По данным школ)</w:t>
      </w:r>
    </w:p>
    <w:p w:rsidR="00E71B55" w:rsidRPr="00E71B55" w:rsidRDefault="00E71B55" w:rsidP="00E71B55">
      <w:pPr>
        <w:ind w:firstLine="284"/>
        <w:jc w:val="both"/>
        <w:rPr>
          <w:sz w:val="28"/>
          <w:szCs w:val="28"/>
        </w:rPr>
      </w:pPr>
    </w:p>
    <w:p w:rsidR="00E71B55" w:rsidRPr="00E71B55" w:rsidRDefault="00E71B55" w:rsidP="00E71B55">
      <w:pPr>
        <w:ind w:firstLine="284"/>
        <w:jc w:val="both"/>
        <w:rPr>
          <w:sz w:val="28"/>
          <w:szCs w:val="28"/>
        </w:rPr>
      </w:pPr>
      <w:r w:rsidRPr="00E71B55">
        <w:rPr>
          <w:sz w:val="28"/>
          <w:szCs w:val="28"/>
        </w:rPr>
        <w:t xml:space="preserve">Не допущенных  к ГИА -9 143 человека (85 – в 2018 году), из них остались на повторное обучение в школах: 134 чел., остальные: </w:t>
      </w:r>
    </w:p>
    <w:p w:rsidR="00E71B55" w:rsidRPr="00E71B55" w:rsidRDefault="00E71B55" w:rsidP="00E71B55">
      <w:pPr>
        <w:ind w:firstLine="284"/>
        <w:jc w:val="both"/>
        <w:rPr>
          <w:sz w:val="28"/>
          <w:szCs w:val="28"/>
        </w:rPr>
      </w:pPr>
      <w:r w:rsidRPr="00E71B55">
        <w:rPr>
          <w:sz w:val="28"/>
          <w:szCs w:val="28"/>
        </w:rPr>
        <w:t>- на семейной форме обучения - 7 чел.;</w:t>
      </w:r>
    </w:p>
    <w:p w:rsidR="0026525A" w:rsidRDefault="0026525A" w:rsidP="00962158">
      <w:pPr>
        <w:ind w:firstLine="284"/>
        <w:jc w:val="both"/>
        <w:rPr>
          <w:sz w:val="28"/>
          <w:szCs w:val="28"/>
        </w:rPr>
      </w:pPr>
      <w:proofErr w:type="gramStart"/>
      <w:r w:rsidRPr="00E71B55">
        <w:rPr>
          <w:sz w:val="28"/>
          <w:szCs w:val="28"/>
        </w:rPr>
        <w:t xml:space="preserve">- </w:t>
      </w:r>
      <w:r w:rsidR="00E71B55" w:rsidRPr="00E71B55">
        <w:rPr>
          <w:sz w:val="28"/>
          <w:szCs w:val="28"/>
        </w:rPr>
        <w:t xml:space="preserve">отчислены по заявлению в связи с совершеннолетием </w:t>
      </w:r>
      <w:r w:rsidRPr="00E71B55">
        <w:rPr>
          <w:sz w:val="28"/>
          <w:szCs w:val="28"/>
        </w:rPr>
        <w:t xml:space="preserve"> -</w:t>
      </w:r>
      <w:r w:rsidR="00E71B55" w:rsidRPr="00E71B55">
        <w:rPr>
          <w:sz w:val="28"/>
          <w:szCs w:val="28"/>
        </w:rPr>
        <w:t>2 чел</w:t>
      </w:r>
      <w:r w:rsidRPr="00E71B55">
        <w:rPr>
          <w:sz w:val="28"/>
          <w:szCs w:val="28"/>
        </w:rPr>
        <w:t>.</w:t>
      </w:r>
      <w:r w:rsidR="00E71B55" w:rsidRPr="00E71B55">
        <w:rPr>
          <w:sz w:val="28"/>
          <w:szCs w:val="28"/>
        </w:rPr>
        <w:t>:</w:t>
      </w:r>
      <w:proofErr w:type="gramEnd"/>
    </w:p>
    <w:p w:rsidR="00E71B55" w:rsidRDefault="00E71B55" w:rsidP="00962158">
      <w:pPr>
        <w:ind w:firstLine="284"/>
        <w:jc w:val="both"/>
        <w:rPr>
          <w:sz w:val="28"/>
          <w:szCs w:val="28"/>
        </w:rPr>
      </w:pPr>
    </w:p>
    <w:p w:rsidR="00F32AE3" w:rsidRPr="00080217" w:rsidRDefault="00F32AE3" w:rsidP="00080217">
      <w:pPr>
        <w:jc w:val="both"/>
        <w:rPr>
          <w:sz w:val="28"/>
          <w:szCs w:val="28"/>
        </w:rPr>
      </w:pPr>
    </w:p>
    <w:sectPr w:rsidR="00F32AE3" w:rsidRPr="00080217" w:rsidSect="00AA0F5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C6717"/>
    <w:multiLevelType w:val="hybridMultilevel"/>
    <w:tmpl w:val="0C0C861E"/>
    <w:lvl w:ilvl="0" w:tplc="F634DD4A">
      <w:numFmt w:val="bullet"/>
      <w:lvlText w:val="•"/>
      <w:lvlJc w:val="left"/>
      <w:pPr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06F16C4"/>
    <w:multiLevelType w:val="hybridMultilevel"/>
    <w:tmpl w:val="0218C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87"/>
    <w:rsid w:val="000463B4"/>
    <w:rsid w:val="00080217"/>
    <w:rsid w:val="002407A0"/>
    <w:rsid w:val="0026525A"/>
    <w:rsid w:val="002C3D53"/>
    <w:rsid w:val="002D67B8"/>
    <w:rsid w:val="00300C31"/>
    <w:rsid w:val="003551DD"/>
    <w:rsid w:val="00395533"/>
    <w:rsid w:val="00457C4C"/>
    <w:rsid w:val="004B4A2E"/>
    <w:rsid w:val="004D7607"/>
    <w:rsid w:val="004F0487"/>
    <w:rsid w:val="004F1323"/>
    <w:rsid w:val="00581F9F"/>
    <w:rsid w:val="006002A8"/>
    <w:rsid w:val="00667705"/>
    <w:rsid w:val="006A0075"/>
    <w:rsid w:val="006D6C14"/>
    <w:rsid w:val="00847C57"/>
    <w:rsid w:val="008F36AE"/>
    <w:rsid w:val="009366CA"/>
    <w:rsid w:val="00962158"/>
    <w:rsid w:val="00AA0F5A"/>
    <w:rsid w:val="00AA4345"/>
    <w:rsid w:val="00AD082F"/>
    <w:rsid w:val="00AE10B4"/>
    <w:rsid w:val="00AE75AB"/>
    <w:rsid w:val="00BD41AD"/>
    <w:rsid w:val="00BF1F5C"/>
    <w:rsid w:val="00C225F0"/>
    <w:rsid w:val="00C402A8"/>
    <w:rsid w:val="00CF163F"/>
    <w:rsid w:val="00D05A90"/>
    <w:rsid w:val="00E636EE"/>
    <w:rsid w:val="00E71B55"/>
    <w:rsid w:val="00E81672"/>
    <w:rsid w:val="00ED4129"/>
    <w:rsid w:val="00EE5375"/>
    <w:rsid w:val="00EF1173"/>
    <w:rsid w:val="00F32AE3"/>
    <w:rsid w:val="00FA00AA"/>
    <w:rsid w:val="00F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F0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F04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uiPriority w:val="99"/>
    <w:rsid w:val="004F04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F0487"/>
    <w:rPr>
      <w:color w:val="0000FF" w:themeColor="hyperlink"/>
      <w:u w:val="single"/>
    </w:rPr>
  </w:style>
  <w:style w:type="character" w:customStyle="1" w:styleId="a4">
    <w:name w:val="Основной текст_"/>
    <w:link w:val="1"/>
    <w:locked/>
    <w:rsid w:val="009366CA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9366CA"/>
    <w:pPr>
      <w:shd w:val="clear" w:color="auto" w:fill="FFFFFF"/>
      <w:spacing w:after="480" w:line="283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402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2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F0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F04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uiPriority w:val="99"/>
    <w:rsid w:val="004F04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F0487"/>
    <w:rPr>
      <w:color w:val="0000FF" w:themeColor="hyperlink"/>
      <w:u w:val="single"/>
    </w:rPr>
  </w:style>
  <w:style w:type="character" w:customStyle="1" w:styleId="a4">
    <w:name w:val="Основной текст_"/>
    <w:link w:val="1"/>
    <w:locked/>
    <w:rsid w:val="009366CA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9366CA"/>
    <w:pPr>
      <w:shd w:val="clear" w:color="auto" w:fill="FFFFFF"/>
      <w:spacing w:after="480" w:line="283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402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2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Клейнер Светлана Валериевна</dc:creator>
  <cp:lastModifiedBy>Клейнер Светлана Валериевна</cp:lastModifiedBy>
  <cp:revision>15</cp:revision>
  <cp:lastPrinted>2018-11-13T11:32:00Z</cp:lastPrinted>
  <dcterms:created xsi:type="dcterms:W3CDTF">2019-11-17T16:04:00Z</dcterms:created>
  <dcterms:modified xsi:type="dcterms:W3CDTF">2019-11-19T06:26:00Z</dcterms:modified>
</cp:coreProperties>
</file>